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614F" w:rsidRPr="00322B92" w:rsidRDefault="00B4614F" w:rsidP="00322B92">
      <w:pPr>
        <w:pStyle w:val="NormalWeb"/>
        <w:spacing w:before="0" w:beforeAutospacing="0" w:after="0" w:afterAutospacing="0" w:line="480" w:lineRule="auto"/>
        <w:jc w:val="both"/>
        <w:rPr>
          <w:color w:val="1C1E29"/>
        </w:rPr>
      </w:pPr>
    </w:p>
    <w:p w:rsidR="00322B92" w:rsidRPr="00322B92" w:rsidRDefault="00322B92" w:rsidP="00322B92">
      <w:pPr>
        <w:pStyle w:val="NormalWeb"/>
        <w:spacing w:before="0" w:beforeAutospacing="0" w:after="0" w:afterAutospacing="0" w:line="480" w:lineRule="auto"/>
        <w:jc w:val="center"/>
        <w:rPr>
          <w:color w:val="1C1E29"/>
        </w:rPr>
      </w:pPr>
    </w:p>
    <w:p w:rsidR="00322B92" w:rsidRPr="00322B92" w:rsidRDefault="00322B92" w:rsidP="00322B92">
      <w:pPr>
        <w:pStyle w:val="NormalWeb"/>
        <w:spacing w:before="0" w:beforeAutospacing="0" w:after="0" w:afterAutospacing="0" w:line="480" w:lineRule="auto"/>
        <w:jc w:val="center"/>
        <w:rPr>
          <w:color w:val="1C1E29"/>
        </w:rPr>
      </w:pPr>
    </w:p>
    <w:p w:rsidR="00322B92" w:rsidRPr="00322B92" w:rsidRDefault="00322B92" w:rsidP="00322B92">
      <w:pPr>
        <w:pStyle w:val="NormalWeb"/>
        <w:spacing w:before="0" w:beforeAutospacing="0" w:after="0" w:afterAutospacing="0" w:line="480" w:lineRule="auto"/>
        <w:jc w:val="center"/>
        <w:rPr>
          <w:color w:val="1C1E29"/>
        </w:rPr>
      </w:pPr>
    </w:p>
    <w:p w:rsidR="00322B92" w:rsidRPr="00322B92" w:rsidRDefault="00322B92" w:rsidP="00322B92">
      <w:pPr>
        <w:pStyle w:val="NormalWeb"/>
        <w:spacing w:before="0" w:beforeAutospacing="0" w:after="0" w:afterAutospacing="0" w:line="480" w:lineRule="auto"/>
        <w:jc w:val="center"/>
        <w:rPr>
          <w:color w:val="1C1E29"/>
        </w:rPr>
      </w:pPr>
    </w:p>
    <w:p w:rsidR="00322B92" w:rsidRPr="00322B92" w:rsidRDefault="00322B92" w:rsidP="00322B92">
      <w:pPr>
        <w:pStyle w:val="NormalWeb"/>
        <w:spacing w:before="0" w:beforeAutospacing="0" w:after="0" w:afterAutospacing="0" w:line="480" w:lineRule="auto"/>
        <w:jc w:val="center"/>
        <w:rPr>
          <w:color w:val="1C1E29"/>
        </w:rPr>
      </w:pPr>
    </w:p>
    <w:p w:rsidR="00322B92" w:rsidRPr="00322B92" w:rsidRDefault="00322B92" w:rsidP="00322B92">
      <w:pPr>
        <w:pStyle w:val="NormalWeb"/>
        <w:spacing w:before="0" w:beforeAutospacing="0" w:after="0" w:afterAutospacing="0" w:line="480" w:lineRule="auto"/>
        <w:jc w:val="center"/>
        <w:rPr>
          <w:color w:val="1C1E29"/>
        </w:rPr>
      </w:pPr>
    </w:p>
    <w:p w:rsidR="00322B92" w:rsidRPr="00322B92" w:rsidRDefault="00322B92" w:rsidP="00322B92">
      <w:pPr>
        <w:pStyle w:val="NormalWeb"/>
        <w:spacing w:before="0" w:beforeAutospacing="0" w:after="0" w:afterAutospacing="0" w:line="480" w:lineRule="auto"/>
        <w:jc w:val="center"/>
        <w:rPr>
          <w:color w:val="1C1E29"/>
        </w:rPr>
      </w:pPr>
    </w:p>
    <w:p w:rsidR="00322B92" w:rsidRPr="00322B92" w:rsidRDefault="00322B92" w:rsidP="00322B92">
      <w:pPr>
        <w:pStyle w:val="NormalWeb"/>
        <w:spacing w:before="0" w:beforeAutospacing="0" w:after="0" w:afterAutospacing="0" w:line="480" w:lineRule="auto"/>
        <w:jc w:val="center"/>
        <w:rPr>
          <w:color w:val="1C1E29"/>
        </w:rPr>
      </w:pPr>
    </w:p>
    <w:p w:rsidR="00322B92" w:rsidRPr="00322B92" w:rsidRDefault="00322B92" w:rsidP="00322B92">
      <w:pPr>
        <w:pStyle w:val="NormalWeb"/>
        <w:spacing w:before="0" w:beforeAutospacing="0" w:after="0" w:afterAutospacing="0" w:line="480" w:lineRule="auto"/>
        <w:jc w:val="center"/>
        <w:rPr>
          <w:color w:val="1C1E29"/>
        </w:rPr>
      </w:pPr>
    </w:p>
    <w:p w:rsidR="00322B92" w:rsidRPr="00322B92" w:rsidRDefault="00322B92" w:rsidP="00322B92">
      <w:pPr>
        <w:pStyle w:val="NormalWeb"/>
        <w:spacing w:before="0" w:beforeAutospacing="0" w:after="0" w:afterAutospacing="0" w:line="480" w:lineRule="auto"/>
        <w:jc w:val="center"/>
        <w:rPr>
          <w:color w:val="1C1E29"/>
        </w:rPr>
      </w:pPr>
      <w:r w:rsidRPr="00322B92">
        <w:rPr>
          <w:color w:val="1C1E29"/>
        </w:rPr>
        <w:t>Understanding the Situation</w:t>
      </w:r>
    </w:p>
    <w:p w:rsidR="00322B92" w:rsidRPr="00322B92" w:rsidRDefault="00322B92" w:rsidP="00322B92">
      <w:pPr>
        <w:pStyle w:val="NormalWeb"/>
        <w:spacing w:before="0" w:beforeAutospacing="0" w:after="0" w:afterAutospacing="0" w:line="480" w:lineRule="auto"/>
        <w:jc w:val="center"/>
        <w:rPr>
          <w:color w:val="1C1E29"/>
        </w:rPr>
      </w:pPr>
      <w:r w:rsidRPr="00322B92">
        <w:rPr>
          <w:color w:val="1C1E29"/>
        </w:rPr>
        <w:t>Student’s Name:</w:t>
      </w:r>
    </w:p>
    <w:p w:rsidR="00322B92" w:rsidRPr="00322B92" w:rsidRDefault="00322B92" w:rsidP="00322B92">
      <w:pPr>
        <w:pStyle w:val="NormalWeb"/>
        <w:spacing w:before="0" w:beforeAutospacing="0" w:after="0" w:afterAutospacing="0" w:line="480" w:lineRule="auto"/>
        <w:jc w:val="center"/>
        <w:rPr>
          <w:color w:val="1C1E29"/>
        </w:rPr>
      </w:pPr>
      <w:r w:rsidRPr="00322B92">
        <w:rPr>
          <w:color w:val="1C1E29"/>
        </w:rPr>
        <w:t>Institutional Affiliation:</w:t>
      </w:r>
    </w:p>
    <w:p w:rsidR="00322B92" w:rsidRPr="00322B92" w:rsidRDefault="00322B92" w:rsidP="00322B92">
      <w:pPr>
        <w:spacing w:line="480" w:lineRule="auto"/>
        <w:rPr>
          <w:rFonts w:ascii="Times New Roman" w:eastAsia="Times New Roman" w:hAnsi="Times New Roman" w:cs="Times New Roman"/>
          <w:color w:val="1C1E29"/>
          <w:sz w:val="24"/>
          <w:szCs w:val="24"/>
        </w:rPr>
      </w:pPr>
      <w:r w:rsidRPr="00322B92">
        <w:rPr>
          <w:color w:val="1C1E29"/>
        </w:rPr>
        <w:br w:type="page"/>
      </w:r>
    </w:p>
    <w:p w:rsidR="00322B92" w:rsidRPr="00322B92" w:rsidRDefault="00322B92" w:rsidP="00322B92">
      <w:pPr>
        <w:pStyle w:val="NormalWeb"/>
        <w:spacing w:before="0" w:beforeAutospacing="0" w:after="0" w:afterAutospacing="0" w:line="480" w:lineRule="auto"/>
        <w:jc w:val="center"/>
        <w:rPr>
          <w:color w:val="1C1E29"/>
        </w:rPr>
      </w:pPr>
      <w:r w:rsidRPr="00322B92">
        <w:rPr>
          <w:color w:val="1C1E29"/>
        </w:rPr>
        <w:lastRenderedPageBreak/>
        <w:t>Understanding the Situation</w:t>
      </w:r>
    </w:p>
    <w:p w:rsidR="00B4614F" w:rsidRPr="00322B92" w:rsidRDefault="00B4614F" w:rsidP="00322B92">
      <w:pPr>
        <w:pStyle w:val="NormalWeb"/>
        <w:spacing w:before="0" w:beforeAutospacing="0" w:after="0" w:afterAutospacing="0" w:line="480" w:lineRule="auto"/>
        <w:ind w:firstLine="720"/>
        <w:jc w:val="both"/>
        <w:rPr>
          <w:color w:val="1C1E29"/>
        </w:rPr>
      </w:pPr>
      <w:r w:rsidRPr="00322B92">
        <w:rPr>
          <w:color w:val="1C1E29"/>
        </w:rPr>
        <w:t>The six given steps are all necessary for planning which is a complete process after following them all. As such, all are crucial. However, while dealing with an emergency, there is one particular step which is best considered more. An individual should think of understanding the situation which offers all the other solutions. To effectively curb a risk, the individual must realize the associated hazards. Apart from that, the person should compare the available jurisdiction faces, which should be entailed in dealing with a hazard. While sure of the risk ahead, it is easy for the individual to plan the most appropriate steps of how to tackle the emergency. Understanding the situation aids one in establishing a solution process. It enables one to identify the solutions to the given problem. The crisis, when well understood enables one to determine the appropriate tools necessary to curb the issue. The analysis of similar cases carried out allows the individual to study the steps carried out to attain the solution to the given problem. The trend analysis is also looked at in this particular step.</w:t>
      </w:r>
    </w:p>
    <w:p w:rsidR="00B4614F" w:rsidRPr="00322B92" w:rsidRDefault="00B4614F" w:rsidP="00322B92">
      <w:pPr>
        <w:pStyle w:val="NormalWeb"/>
        <w:spacing w:before="0" w:beforeAutospacing="0" w:after="0" w:afterAutospacing="0" w:line="480" w:lineRule="auto"/>
        <w:ind w:firstLine="720"/>
        <w:jc w:val="both"/>
        <w:rPr>
          <w:color w:val="1C1E29"/>
        </w:rPr>
      </w:pPr>
      <w:r w:rsidRPr="00322B92">
        <w:rPr>
          <w:color w:val="1C1E29"/>
        </w:rPr>
        <w:t>As a result, the individual can easily understand how the occurrence of such a give emergency can be dealt with. Emergencies can hardly be new. As a result, every individual must do thorough research on how they occurred in different given instances. After looking at such, the individual looks at the given bodies and how they dealt with such. Such organizations include American red cross, which deals with emergencies and planning teams. On identifying the threats and hazards, the individual moves to the next step, which involves assessing the depth of the risk or emergency. The assessment part enables the individual to realize how the crisis can be dealt with quickly.</w:t>
      </w:r>
    </w:p>
    <w:p w:rsidR="00B4614F" w:rsidRPr="00322B92" w:rsidRDefault="00B4614F" w:rsidP="00322B92">
      <w:pPr>
        <w:pStyle w:val="NormalWeb"/>
        <w:spacing w:before="0" w:beforeAutospacing="0" w:after="0" w:afterAutospacing="0" w:line="480" w:lineRule="auto"/>
        <w:ind w:firstLine="720"/>
        <w:jc w:val="both"/>
        <w:rPr>
          <w:color w:val="1C1E29"/>
        </w:rPr>
      </w:pPr>
      <w:r w:rsidRPr="00322B92">
        <w:rPr>
          <w:color w:val="1C1E29"/>
        </w:rPr>
        <w:t xml:space="preserve">After that, there comes the management sub-step where the individual gets ways of planning for a similar emergency or that given one. The step has knowledge which can be termed </w:t>
      </w:r>
      <w:r w:rsidRPr="00322B92">
        <w:rPr>
          <w:color w:val="1C1E29"/>
        </w:rPr>
        <w:lastRenderedPageBreak/>
        <w:t xml:space="preserve">as historic but aids the individual </w:t>
      </w:r>
      <w:bookmarkStart w:id="0" w:name="_GoBack"/>
      <w:bookmarkEnd w:id="0"/>
      <w:r w:rsidRPr="00322B92">
        <w:rPr>
          <w:color w:val="1C1E29"/>
        </w:rPr>
        <w:t>in designing or developing strategies which are necessary and can be of great help in curbing the situation. As seen, understanding the case while dealing with an emergency is very important. It is the step which prepares one and clears the tension as they must take time and think of what they should do. Crises are inevitable</w:t>
      </w:r>
      <w:r w:rsidR="00322B92" w:rsidRPr="00322B92">
        <w:rPr>
          <w:color w:val="1C1E29"/>
        </w:rPr>
        <w:t xml:space="preserve"> (</w:t>
      </w:r>
      <w:hyperlink r:id="rId6" w:tgtFrame="_blank" w:history="1">
        <w:r w:rsidR="00322B92" w:rsidRPr="00322B92">
          <w:rPr>
            <w:rStyle w:val="Hyperlink"/>
            <w:color w:val="auto"/>
            <w:u w:val="none"/>
          </w:rPr>
          <w:t>Management Agency, Federal Emergency</w:t>
        </w:r>
      </w:hyperlink>
      <w:r w:rsidR="00322B92" w:rsidRPr="00322B92">
        <w:t>, 2010</w:t>
      </w:r>
      <w:r w:rsidR="00322B92" w:rsidRPr="00322B92">
        <w:t>)</w:t>
      </w:r>
      <w:r w:rsidRPr="00322B92">
        <w:rPr>
          <w:color w:val="1C1E29"/>
        </w:rPr>
        <w:t>. The involved individuals must carry the appropriate steps in dealing with them to attain solutions. A sober mind and adverse research are essential while dealing with emergencies.</w:t>
      </w:r>
    </w:p>
    <w:p w:rsidR="00B4614F" w:rsidRPr="00322B92" w:rsidRDefault="00B4614F" w:rsidP="00322B92">
      <w:pPr>
        <w:pStyle w:val="NormalWeb"/>
        <w:spacing w:before="0" w:beforeAutospacing="0" w:after="0" w:afterAutospacing="0" w:line="480" w:lineRule="auto"/>
        <w:jc w:val="both"/>
        <w:rPr>
          <w:color w:val="1C1E29"/>
        </w:rPr>
      </w:pPr>
    </w:p>
    <w:p w:rsidR="00B4614F" w:rsidRPr="00322B92" w:rsidRDefault="00B4614F" w:rsidP="00322B92">
      <w:pPr>
        <w:pStyle w:val="NormalWeb"/>
        <w:spacing w:before="0" w:beforeAutospacing="0" w:after="0" w:afterAutospacing="0" w:line="480" w:lineRule="auto"/>
        <w:jc w:val="both"/>
        <w:rPr>
          <w:color w:val="1C1E29"/>
        </w:rPr>
      </w:pPr>
      <w:r w:rsidRPr="00322B92">
        <w:rPr>
          <w:color w:val="1C1E29"/>
        </w:rPr>
        <w:t>  </w:t>
      </w:r>
    </w:p>
    <w:p w:rsidR="00322B92" w:rsidRPr="00322B92" w:rsidRDefault="00322B92" w:rsidP="00322B92">
      <w:pPr>
        <w:spacing w:line="480" w:lineRule="auto"/>
        <w:jc w:val="both"/>
        <w:rPr>
          <w:rFonts w:ascii="Times New Roman" w:eastAsia="Times New Roman" w:hAnsi="Times New Roman" w:cs="Times New Roman"/>
          <w:color w:val="1C1E29"/>
          <w:sz w:val="24"/>
          <w:szCs w:val="24"/>
        </w:rPr>
      </w:pPr>
      <w:r w:rsidRPr="00322B92">
        <w:rPr>
          <w:color w:val="1C1E29"/>
        </w:rPr>
        <w:br w:type="page"/>
      </w:r>
    </w:p>
    <w:p w:rsidR="00B4614F" w:rsidRPr="00322B92" w:rsidRDefault="00B4614F" w:rsidP="00322B92">
      <w:pPr>
        <w:pStyle w:val="NormalWeb"/>
        <w:spacing w:before="0" w:beforeAutospacing="0" w:after="0" w:afterAutospacing="0" w:line="480" w:lineRule="auto"/>
        <w:jc w:val="center"/>
        <w:rPr>
          <w:color w:val="1C1E29"/>
        </w:rPr>
      </w:pPr>
      <w:r w:rsidRPr="00322B92">
        <w:rPr>
          <w:color w:val="1C1E29"/>
        </w:rPr>
        <w:lastRenderedPageBreak/>
        <w:t>Reference</w:t>
      </w:r>
    </w:p>
    <w:p w:rsidR="00B4614F" w:rsidRPr="00322B92" w:rsidRDefault="00B4614F" w:rsidP="00322B92">
      <w:pPr>
        <w:pStyle w:val="Heading1"/>
        <w:spacing w:before="0" w:beforeAutospacing="0" w:after="0" w:afterAutospacing="0" w:line="480" w:lineRule="auto"/>
        <w:ind w:left="720" w:hanging="720"/>
        <w:jc w:val="both"/>
        <w:rPr>
          <w:b w:val="0"/>
          <w:bCs w:val="0"/>
          <w:sz w:val="24"/>
          <w:szCs w:val="24"/>
        </w:rPr>
      </w:pPr>
      <w:hyperlink r:id="rId7" w:tgtFrame="_blank" w:history="1">
        <w:r w:rsidRPr="00322B92">
          <w:rPr>
            <w:rStyle w:val="Hyperlink"/>
            <w:b w:val="0"/>
            <w:bCs w:val="0"/>
            <w:color w:val="auto"/>
            <w:sz w:val="24"/>
            <w:szCs w:val="24"/>
            <w:u w:val="none"/>
          </w:rPr>
          <w:t>Management Agency, Federal Emergency</w:t>
        </w:r>
      </w:hyperlink>
      <w:r w:rsidRPr="00322B92">
        <w:rPr>
          <w:b w:val="0"/>
          <w:bCs w:val="0"/>
          <w:sz w:val="24"/>
          <w:szCs w:val="24"/>
        </w:rPr>
        <w:t>, 2010. Comprehensive Preparedness Guide (CPG) 101. Kindle Edition. Published by FEMA.</w:t>
      </w:r>
    </w:p>
    <w:p w:rsidR="00B4614F" w:rsidRPr="00322B92" w:rsidRDefault="00B4614F" w:rsidP="00322B92">
      <w:pPr>
        <w:pStyle w:val="NormalWeb"/>
        <w:spacing w:before="0" w:beforeAutospacing="0" w:after="0" w:afterAutospacing="0" w:line="480" w:lineRule="auto"/>
        <w:jc w:val="both"/>
        <w:rPr>
          <w:color w:val="1C1E29"/>
        </w:rPr>
      </w:pPr>
      <w:r w:rsidRPr="00322B92">
        <w:rPr>
          <w:color w:val="1C1E29"/>
        </w:rPr>
        <w:t> </w:t>
      </w:r>
    </w:p>
    <w:p w:rsidR="00B4614F" w:rsidRPr="00322B92" w:rsidRDefault="00B4614F" w:rsidP="00322B92">
      <w:pPr>
        <w:spacing w:line="480" w:lineRule="auto"/>
        <w:jc w:val="both"/>
      </w:pPr>
    </w:p>
    <w:sectPr w:rsidR="00B4614F" w:rsidRPr="00322B92" w:rsidSect="00322B9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3E82" w:rsidRDefault="00533E82" w:rsidP="00322B92">
      <w:pPr>
        <w:spacing w:after="0" w:line="240" w:lineRule="auto"/>
      </w:pPr>
      <w:r>
        <w:separator/>
      </w:r>
    </w:p>
  </w:endnote>
  <w:endnote w:type="continuationSeparator" w:id="0">
    <w:p w:rsidR="00533E82" w:rsidRDefault="00533E82" w:rsidP="00322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3E82" w:rsidRDefault="00533E82" w:rsidP="00322B92">
      <w:pPr>
        <w:spacing w:after="0" w:line="240" w:lineRule="auto"/>
      </w:pPr>
      <w:r>
        <w:separator/>
      </w:r>
    </w:p>
  </w:footnote>
  <w:footnote w:type="continuationSeparator" w:id="0">
    <w:p w:rsidR="00533E82" w:rsidRDefault="00533E82" w:rsidP="00322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B92" w:rsidRPr="00322B92" w:rsidRDefault="00322B92" w:rsidP="00322B92">
    <w:pPr>
      <w:pStyle w:val="Header"/>
      <w:spacing w:line="480" w:lineRule="auto"/>
      <w:rPr>
        <w:rFonts w:ascii="Times New Roman" w:hAnsi="Times New Roman" w:cs="Times New Roman"/>
        <w:sz w:val="24"/>
        <w:szCs w:val="24"/>
      </w:rPr>
    </w:pPr>
    <w:r w:rsidRPr="00322B92">
      <w:rPr>
        <w:rFonts w:ascii="Times New Roman" w:hAnsi="Times New Roman" w:cs="Times New Roman"/>
        <w:color w:val="1C1E29"/>
        <w:sz w:val="24"/>
        <w:szCs w:val="24"/>
      </w:rPr>
      <w:t>UNDERSTANDING THE SITUATION</w:t>
    </w:r>
    <w:r w:rsidRPr="00322B92">
      <w:rPr>
        <w:rFonts w:ascii="Times New Roman" w:hAnsi="Times New Roman" w:cs="Times New Roman"/>
        <w:sz w:val="24"/>
        <w:szCs w:val="24"/>
      </w:rPr>
      <w:t xml:space="preserve"> </w:t>
    </w:r>
    <w:sdt>
      <w:sdtPr>
        <w:rPr>
          <w:rFonts w:ascii="Times New Roman" w:hAnsi="Times New Roman" w:cs="Times New Roman"/>
          <w:sz w:val="24"/>
          <w:szCs w:val="24"/>
        </w:rPr>
        <w:id w:val="-17464693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22B92">
          <w:rPr>
            <w:rFonts w:ascii="Times New Roman" w:hAnsi="Times New Roman" w:cs="Times New Roman"/>
            <w:sz w:val="24"/>
            <w:szCs w:val="24"/>
          </w:rPr>
          <w:fldChar w:fldCharType="begin"/>
        </w:r>
        <w:r w:rsidRPr="00322B92">
          <w:rPr>
            <w:rFonts w:ascii="Times New Roman" w:hAnsi="Times New Roman" w:cs="Times New Roman"/>
            <w:sz w:val="24"/>
            <w:szCs w:val="24"/>
          </w:rPr>
          <w:instrText xml:space="preserve"> PAGE   \* MERGEFORMAT </w:instrText>
        </w:r>
        <w:r w:rsidRPr="00322B92">
          <w:rPr>
            <w:rFonts w:ascii="Times New Roman" w:hAnsi="Times New Roman" w:cs="Times New Roman"/>
            <w:sz w:val="24"/>
            <w:szCs w:val="24"/>
          </w:rPr>
          <w:fldChar w:fldCharType="separate"/>
        </w:r>
        <w:r w:rsidRPr="00322B92">
          <w:rPr>
            <w:rFonts w:ascii="Times New Roman" w:hAnsi="Times New Roman" w:cs="Times New Roman"/>
            <w:noProof/>
            <w:sz w:val="24"/>
            <w:szCs w:val="24"/>
          </w:rPr>
          <w:t>2</w:t>
        </w:r>
        <w:r w:rsidRPr="00322B92">
          <w:rPr>
            <w:rFonts w:ascii="Times New Roman" w:hAnsi="Times New Roman" w:cs="Times New Roman"/>
            <w:noProof/>
            <w:sz w:val="24"/>
            <w:szCs w:val="24"/>
          </w:rPr>
          <w:fldChar w:fldCharType="end"/>
        </w:r>
      </w:sdtContent>
    </w:sdt>
  </w:p>
  <w:p w:rsidR="00322B92" w:rsidRDefault="00322B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B92" w:rsidRPr="00322B92" w:rsidRDefault="00322B92" w:rsidP="00322B92">
    <w:pPr>
      <w:pStyle w:val="Header"/>
      <w:spacing w:line="480" w:lineRule="auto"/>
      <w:rPr>
        <w:rFonts w:ascii="Times New Roman" w:hAnsi="Times New Roman" w:cs="Times New Roman"/>
        <w:sz w:val="24"/>
        <w:szCs w:val="24"/>
      </w:rPr>
    </w:pPr>
    <w:r w:rsidRPr="00322B92">
      <w:rPr>
        <w:rFonts w:ascii="Times New Roman" w:hAnsi="Times New Roman" w:cs="Times New Roman"/>
        <w:sz w:val="24"/>
        <w:szCs w:val="24"/>
      </w:rPr>
      <w:t xml:space="preserve">Running Head: </w:t>
    </w:r>
    <w:r w:rsidRPr="00322B92">
      <w:rPr>
        <w:rFonts w:ascii="Times New Roman" w:hAnsi="Times New Roman" w:cs="Times New Roman"/>
        <w:color w:val="1C1E29"/>
        <w:sz w:val="24"/>
        <w:szCs w:val="24"/>
      </w:rPr>
      <w:t>UNDERSTANDING THE SITUATION</w:t>
    </w:r>
    <w:r>
      <w:rPr>
        <w:rFonts w:ascii="Times New Roman" w:hAnsi="Times New Roman" w:cs="Times New Roman"/>
        <w:color w:val="1C1E29"/>
        <w:sz w:val="24"/>
        <w:szCs w:val="24"/>
      </w:rPr>
      <w:tab/>
    </w:r>
    <w:r w:rsidRPr="00322B92">
      <w:rPr>
        <w:rFonts w:ascii="Times New Roman" w:hAnsi="Times New Roman" w:cs="Times New Roman"/>
        <w:sz w:val="24"/>
        <w:szCs w:val="24"/>
      </w:rPr>
      <w:t xml:space="preserve"> </w:t>
    </w:r>
    <w:sdt>
      <w:sdtPr>
        <w:rPr>
          <w:rFonts w:ascii="Times New Roman" w:hAnsi="Times New Roman" w:cs="Times New Roman"/>
          <w:sz w:val="24"/>
          <w:szCs w:val="24"/>
        </w:rPr>
        <w:id w:val="658587539"/>
        <w:docPartObj>
          <w:docPartGallery w:val="Page Numbers (Top of Page)"/>
          <w:docPartUnique/>
        </w:docPartObj>
      </w:sdtPr>
      <w:sdtEndPr>
        <w:rPr>
          <w:noProof/>
        </w:rPr>
      </w:sdtEndPr>
      <w:sdtContent>
        <w:r w:rsidRPr="00322B92">
          <w:rPr>
            <w:rFonts w:ascii="Times New Roman" w:hAnsi="Times New Roman" w:cs="Times New Roman"/>
            <w:sz w:val="24"/>
            <w:szCs w:val="24"/>
          </w:rPr>
          <w:fldChar w:fldCharType="begin"/>
        </w:r>
        <w:r w:rsidRPr="00322B92">
          <w:rPr>
            <w:rFonts w:ascii="Times New Roman" w:hAnsi="Times New Roman" w:cs="Times New Roman"/>
            <w:sz w:val="24"/>
            <w:szCs w:val="24"/>
          </w:rPr>
          <w:instrText xml:space="preserve"> PAGE   \* MERGEFORMAT </w:instrText>
        </w:r>
        <w:r w:rsidRPr="00322B92">
          <w:rPr>
            <w:rFonts w:ascii="Times New Roman" w:hAnsi="Times New Roman" w:cs="Times New Roman"/>
            <w:sz w:val="24"/>
            <w:szCs w:val="24"/>
          </w:rPr>
          <w:fldChar w:fldCharType="separate"/>
        </w:r>
        <w:r w:rsidRPr="00322B92">
          <w:rPr>
            <w:rFonts w:ascii="Times New Roman" w:hAnsi="Times New Roman" w:cs="Times New Roman"/>
            <w:sz w:val="24"/>
            <w:szCs w:val="24"/>
          </w:rPr>
          <w:t>1</w:t>
        </w:r>
        <w:r w:rsidRPr="00322B9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962"/>
    <w:rsid w:val="000D5912"/>
    <w:rsid w:val="00204C3E"/>
    <w:rsid w:val="00322B92"/>
    <w:rsid w:val="00533E82"/>
    <w:rsid w:val="00757882"/>
    <w:rsid w:val="00B4614F"/>
    <w:rsid w:val="00C11CB4"/>
    <w:rsid w:val="00C66737"/>
    <w:rsid w:val="00D07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98B07"/>
  <w15:chartTrackingRefBased/>
  <w15:docId w15:val="{12F41F0A-4813-45E3-BBAD-C26D6C457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B461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14F"/>
    <w:rPr>
      <w:rFonts w:ascii="Times New Roman" w:eastAsia="Times New Roman" w:hAnsi="Times New Roman" w:cs="Times New Roman"/>
      <w:b/>
      <w:bCs/>
      <w:kern w:val="36"/>
      <w:sz w:val="48"/>
      <w:szCs w:val="48"/>
    </w:rPr>
  </w:style>
  <w:style w:type="character" w:customStyle="1" w:styleId="a-size-large">
    <w:name w:val="a-size-large"/>
    <w:basedOn w:val="DefaultParagraphFont"/>
    <w:rsid w:val="00B4614F"/>
  </w:style>
  <w:style w:type="character" w:customStyle="1" w:styleId="author">
    <w:name w:val="author"/>
    <w:basedOn w:val="DefaultParagraphFont"/>
    <w:rsid w:val="00B4614F"/>
  </w:style>
  <w:style w:type="character" w:styleId="Hyperlink">
    <w:name w:val="Hyperlink"/>
    <w:basedOn w:val="DefaultParagraphFont"/>
    <w:uiPriority w:val="99"/>
    <w:semiHidden/>
    <w:unhideWhenUsed/>
    <w:rsid w:val="00B4614F"/>
    <w:rPr>
      <w:color w:val="0000FF"/>
      <w:u w:val="single"/>
    </w:rPr>
  </w:style>
  <w:style w:type="character" w:customStyle="1" w:styleId="a-color-secondary">
    <w:name w:val="a-color-secondary"/>
    <w:basedOn w:val="DefaultParagraphFont"/>
    <w:rsid w:val="00B4614F"/>
  </w:style>
  <w:style w:type="paragraph" w:styleId="NormalWeb">
    <w:name w:val="Normal (Web)"/>
    <w:basedOn w:val="Normal"/>
    <w:uiPriority w:val="99"/>
    <w:semiHidden/>
    <w:unhideWhenUsed/>
    <w:rsid w:val="00B4614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22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B92"/>
  </w:style>
  <w:style w:type="paragraph" w:styleId="Footer">
    <w:name w:val="footer"/>
    <w:basedOn w:val="Normal"/>
    <w:link w:val="FooterChar"/>
    <w:uiPriority w:val="99"/>
    <w:unhideWhenUsed/>
    <w:rsid w:val="00322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3692717">
      <w:bodyDiv w:val="1"/>
      <w:marLeft w:val="0"/>
      <w:marRight w:val="0"/>
      <w:marTop w:val="0"/>
      <w:marBottom w:val="0"/>
      <w:divBdr>
        <w:top w:val="none" w:sz="0" w:space="0" w:color="auto"/>
        <w:left w:val="none" w:sz="0" w:space="0" w:color="auto"/>
        <w:bottom w:val="none" w:sz="0" w:space="0" w:color="auto"/>
        <w:right w:val="none" w:sz="0" w:space="0" w:color="auto"/>
      </w:divBdr>
    </w:div>
    <w:div w:id="158429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mazon.com/s/ref=dp_byline_sr_ebooks_1?ie=UTF8&amp;field-author=Management+Agency%2C+Federal+Emergency&amp;text=Management+Agency%2C+Federal+Emergency&amp;sort=relevancerank&amp;search-alias=digital-tex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zon.com/s/ref=dp_byline_sr_ebooks_1?ie=UTF8&amp;field-author=Management+Agency%2C+Federal+Emergency&amp;text=Management+Agency%2C+Federal+Emergency&amp;sort=relevancerank&amp;search-alias=digital-tex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2019-09-23T10:27:00Z</dcterms:created>
  <dcterms:modified xsi:type="dcterms:W3CDTF">2019-09-23T11:27:00Z</dcterms:modified>
</cp:coreProperties>
</file>